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AC" w:rsidRDefault="00697C5D"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5DB849AE" wp14:editId="01EF71C1">
            <wp:simplePos x="0" y="0"/>
            <wp:positionH relativeFrom="margin">
              <wp:posOffset>-76199</wp:posOffset>
            </wp:positionH>
            <wp:positionV relativeFrom="paragraph">
              <wp:posOffset>-1904</wp:posOffset>
            </wp:positionV>
            <wp:extent cx="1620520" cy="960755"/>
            <wp:effectExtent l="0" t="0" r="0" b="0"/>
            <wp:wrapNone/>
            <wp:docPr id="1" name="image2.png" descr="IDI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DIC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960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EBAEE9" wp14:editId="41A20A85">
                <wp:simplePos x="0" y="0"/>
                <wp:positionH relativeFrom="margin">
                  <wp:posOffset>1574800</wp:posOffset>
                </wp:positionH>
                <wp:positionV relativeFrom="paragraph">
                  <wp:posOffset>0</wp:posOffset>
                </wp:positionV>
                <wp:extent cx="4025900" cy="9525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4637" y="3303750"/>
                          <a:ext cx="4022724" cy="952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03BC" w:rsidRDefault="001503B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36"/>
                              </w:rPr>
                              <w:t>Instituto para el Desarrollo Industrial y el Crecimiento Económico A.C.</w:t>
                            </w:r>
                          </w:p>
                        </w:txbxContent>
                      </wps:txbx>
                      <wps:bodyPr lIns="36575" tIns="36575" rIns="36575" bIns="36575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9EBAEE9" id="Rectángulo 2" o:spid="_x0000_s1026" style="position:absolute;margin-left:124pt;margin-top:0;width:317pt;height: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78mLABAABFAwAADgAAAGRycy9lMm9Eb2MueG1srFJLjhMxEN0jcQfLe+Ke7nxIK51ZMBqEhGDE&#10;wAEct522ZLss25PuHIezcDHKTjMTYIfY2FXl0qv3nmt3O1lDTjJEDa6jN4uKEukE9NodO/rt6/2b&#10;t5TExF3PDTjZ0bOM9Hb/+tVu9K2sYQDTy0AQxMV29B0dUvItY1EM0vK4AC8dPioIlidMw5H1gY+I&#10;bg2rq2rNRgi9DyBkjFi9uzzSfcFXSor0WakoEzEdRW6pnKGch3yy/Y63x8D9oMVMg/8DC8u1w6HP&#10;UHc8cfIU9F9QVosAEVRaCLAMlNJCFg2o5qb6Q83jwL0sWtCc6J9tiv8PVnw6PQSi+47WlDhu8Yu+&#10;oGk/vrvjkwFSZ4NGH1vse/QPYc4ihlntpILNN+ogU0ebplmumw0l5xxXzWY1GyynRAQ2LKu63tRL&#10;SgR2bFf1crvNA9gLkg8xvZdgSQ46GpBL8ZWfPsZ0af3Vkgc7uNfGYJ23xv1WQMxcYZn8hW6O0nSY&#10;Zg0H6M8o3XxwaGezXm1WuB7XSbhODtcJd2IAXKJEySV8l8pKZX55Cv5VETXvVV6G67x0vWz//icA&#10;AAD//wMAUEsDBBQABgAIAAAAIQBuEXdk3QAAAAgBAAAPAAAAZHJzL2Rvd25yZXYueG1sTI9LT8Qw&#10;DITvSPyHyEhcEJtSAapK0xWsxEPixC4Hjt7GfYjEKU12W/495gQXy9aMxt9U68U7daQpDoENXK0y&#10;UMRNsAN3Bt53j5cFqJiQLbrAZOCbIqzr05MKSxtmfqPjNnVKQjiWaKBPaSy1jk1PHuMqjMSitWHy&#10;mOScOm0nnCXcO51n2a32OLB86HGkTU/N5/bgDeQPcd7NLeb0cvH1pF9d+/yxaY05P1vu70AlWtKf&#10;GX7xBR1qYdqHA9uonGRcF9IlGZApclHksuzFd5NloOtK/y9Q/wAAAP//AwBQSwECLQAUAAYACAAA&#10;ACEA5JnDwPsAAADhAQAAEwAAAAAAAAAAAAAAAAAAAAAAW0NvbnRlbnRfVHlwZXNdLnhtbFBLAQIt&#10;ABQABgAIAAAAIQAjsmrh1wAAAJQBAAALAAAAAAAAAAAAAAAAACwBAABfcmVscy8ucmVsc1BLAQIt&#10;ABQABgAIAAAAIQC4TvyYsAEAAEUDAAAOAAAAAAAAAAAAAAAAACwCAABkcnMvZTJvRG9jLnhtbFBL&#10;AQItABQABgAIAAAAIQBuEXdk3QAAAAgBAAAPAAAAAAAAAAAAAAAAAAgEAABkcnMvZG93bnJldi54&#10;bWxQSwUGAAAAAAQABADzAAAAEgUAAAAA&#10;" filled="f" stroked="f">
                <v:textbox inset="36575emu,36575emu,36575emu,36575emu">
                  <w:txbxContent>
                    <w:p w:rsidR="001503BC" w:rsidRDefault="001503B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sz w:val="36"/>
                        </w:rPr>
                        <w:t>Instituto para el Desarrollo Industrial y el Crecimiento Económico A.C.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63AC" w:rsidRDefault="000F63AC"/>
    <w:p w:rsidR="000F63AC" w:rsidRDefault="000F63AC"/>
    <w:p w:rsidR="000F63AC" w:rsidRDefault="000F63AC"/>
    <w:p w:rsidR="000F63AC" w:rsidRDefault="000045DB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Renegociación del T</w:t>
      </w:r>
      <w:r w:rsidR="00697C5D">
        <w:rPr>
          <w:rFonts w:ascii="Cambria" w:eastAsia="Cambria" w:hAnsi="Cambria" w:cs="Cambria"/>
          <w:b/>
          <w:sz w:val="28"/>
          <w:szCs w:val="28"/>
        </w:rPr>
        <w:t>LCAN</w:t>
      </w:r>
      <w:r w:rsidR="00E321D7">
        <w:rPr>
          <w:rFonts w:ascii="Cambria" w:eastAsia="Cambria" w:hAnsi="Cambria" w:cs="Cambria"/>
          <w:b/>
          <w:sz w:val="28"/>
          <w:szCs w:val="28"/>
        </w:rPr>
        <w:t>:</w:t>
      </w:r>
      <w:r>
        <w:rPr>
          <w:rFonts w:ascii="Cambria" w:eastAsia="Cambria" w:hAnsi="Cambria" w:cs="Cambria"/>
          <w:b/>
          <w:sz w:val="28"/>
          <w:szCs w:val="28"/>
        </w:rPr>
        <w:t xml:space="preserve"> de la divergencia al fortalecimiento productivo de América del Norte: </w:t>
      </w:r>
      <w:r w:rsidR="00697C5D">
        <w:rPr>
          <w:rFonts w:ascii="Cambria" w:eastAsia="Cambria" w:hAnsi="Cambria" w:cs="Cambria"/>
          <w:b/>
          <w:sz w:val="28"/>
          <w:szCs w:val="28"/>
        </w:rPr>
        <w:t>IDIC</w:t>
      </w:r>
    </w:p>
    <w:p w:rsidR="000F63AC" w:rsidRDefault="00697C5D" w:rsidP="001503BC">
      <w:pPr>
        <w:numPr>
          <w:ilvl w:val="0"/>
          <w:numId w:val="1"/>
        </w:numPr>
        <w:spacing w:after="0"/>
        <w:contextualSpacing/>
        <w:jc w:val="both"/>
        <w:rPr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Durante el Foro </w:t>
      </w:r>
      <w:r w:rsidRPr="00E321D7">
        <w:rPr>
          <w:rFonts w:ascii="Cambria" w:eastAsia="Cambria" w:hAnsi="Cambria" w:cs="Cambria"/>
          <w:b/>
          <w:i/>
          <w:sz w:val="18"/>
          <w:szCs w:val="18"/>
        </w:rPr>
        <w:t>La Renegociación del TLCAN. Reflexiones y propuestas</w:t>
      </w:r>
      <w:r>
        <w:rPr>
          <w:rFonts w:ascii="Cambria" w:eastAsia="Cambria" w:hAnsi="Cambria" w:cs="Cambria"/>
          <w:i/>
          <w:sz w:val="18"/>
          <w:szCs w:val="18"/>
        </w:rPr>
        <w:t xml:space="preserve">, académicos y especialistas del Instituto destacan las diferencias entre el gobierno </w:t>
      </w:r>
      <w:r w:rsidR="006A3ABF">
        <w:rPr>
          <w:rFonts w:ascii="Cambria" w:eastAsia="Cambria" w:hAnsi="Cambria" w:cs="Cambria"/>
          <w:i/>
          <w:sz w:val="18"/>
          <w:szCs w:val="18"/>
        </w:rPr>
        <w:t xml:space="preserve">de Donald </w:t>
      </w:r>
      <w:r>
        <w:rPr>
          <w:rFonts w:ascii="Cambria" w:eastAsia="Cambria" w:hAnsi="Cambria" w:cs="Cambria"/>
          <w:i/>
          <w:sz w:val="18"/>
          <w:szCs w:val="18"/>
        </w:rPr>
        <w:t>Trump y las grandes empresas para redefinir el Tratado</w:t>
      </w:r>
    </w:p>
    <w:p w:rsidR="000F63AC" w:rsidRDefault="00697C5D" w:rsidP="001503BC">
      <w:pPr>
        <w:numPr>
          <w:ilvl w:val="0"/>
          <w:numId w:val="1"/>
        </w:numPr>
        <w:contextualSpacing/>
        <w:jc w:val="both"/>
        <w:rPr>
          <w:i/>
          <w:sz w:val="18"/>
          <w:szCs w:val="1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i/>
          <w:sz w:val="18"/>
          <w:szCs w:val="18"/>
        </w:rPr>
        <w:t>México debe concentrarse en mejorar su contenido</w:t>
      </w:r>
      <w:r w:rsidR="006A3ABF">
        <w:rPr>
          <w:rFonts w:ascii="Cambria" w:eastAsia="Cambria" w:hAnsi="Cambria" w:cs="Cambria"/>
          <w:i/>
          <w:sz w:val="18"/>
          <w:szCs w:val="18"/>
        </w:rPr>
        <w:t xml:space="preserve"> para las siguientes rondas y no es </w:t>
      </w:r>
      <w:r>
        <w:rPr>
          <w:rFonts w:ascii="Cambria" w:eastAsia="Cambria" w:hAnsi="Cambria" w:cs="Cambria"/>
          <w:i/>
          <w:sz w:val="18"/>
          <w:szCs w:val="18"/>
        </w:rPr>
        <w:t xml:space="preserve">parte de la agenda norteamericana, alertan </w:t>
      </w:r>
    </w:p>
    <w:p w:rsidR="000F63AC" w:rsidRDefault="000F63AC" w:rsidP="001503BC">
      <w:pPr>
        <w:jc w:val="both"/>
      </w:pPr>
    </w:p>
    <w:p w:rsidR="000F63AC" w:rsidRPr="00F07331" w:rsidRDefault="006A3ABF" w:rsidP="006A3ABF">
      <w:pPr>
        <w:spacing w:line="360" w:lineRule="auto"/>
        <w:jc w:val="both"/>
        <w:rPr>
          <w:rFonts w:ascii="Cambria" w:eastAsia="Cambria" w:hAnsi="Cambria" w:cs="Cambria"/>
        </w:rPr>
      </w:pPr>
      <w:r w:rsidRPr="00F07331">
        <w:rPr>
          <w:rFonts w:ascii="Cambria" w:eastAsia="Cambria" w:hAnsi="Cambria" w:cs="Cambria"/>
          <w:b/>
        </w:rPr>
        <w:t>Ciudad de México, 2</w:t>
      </w:r>
      <w:r w:rsidR="00200C75">
        <w:rPr>
          <w:rFonts w:ascii="Cambria" w:eastAsia="Cambria" w:hAnsi="Cambria" w:cs="Cambria"/>
          <w:b/>
        </w:rPr>
        <w:t>3</w:t>
      </w:r>
      <w:bookmarkStart w:id="1" w:name="_GoBack"/>
      <w:bookmarkEnd w:id="1"/>
      <w:r w:rsidRPr="00F07331">
        <w:rPr>
          <w:rFonts w:ascii="Cambria" w:eastAsia="Cambria" w:hAnsi="Cambria" w:cs="Cambria"/>
          <w:b/>
        </w:rPr>
        <w:t xml:space="preserve"> de agosto </w:t>
      </w:r>
      <w:r w:rsidR="00697C5D" w:rsidRPr="00F07331">
        <w:rPr>
          <w:rFonts w:ascii="Cambria" w:eastAsia="Cambria" w:hAnsi="Cambria" w:cs="Cambria"/>
          <w:b/>
        </w:rPr>
        <w:t>de 2017</w:t>
      </w:r>
      <w:r w:rsidR="00697C5D" w:rsidRPr="00F07331">
        <w:rPr>
          <w:rFonts w:ascii="Cambria" w:eastAsia="Cambria" w:hAnsi="Cambria" w:cs="Cambria"/>
        </w:rPr>
        <w:t xml:space="preserve">.- La primera ronda de negociación del </w:t>
      </w:r>
      <w:r w:rsidR="001503BC" w:rsidRPr="00F07331">
        <w:rPr>
          <w:rFonts w:ascii="Cambria" w:eastAsia="Cambria" w:hAnsi="Cambria" w:cs="Cambria"/>
        </w:rPr>
        <w:t>TLCAN puso</w:t>
      </w:r>
      <w:r w:rsidR="00697C5D" w:rsidRPr="00F07331">
        <w:rPr>
          <w:rFonts w:ascii="Cambria" w:eastAsia="Cambria" w:hAnsi="Cambria" w:cs="Cambria"/>
        </w:rPr>
        <w:t xml:space="preserve"> en evidencia las divergencias entre los socios comerciales en términos más allá de lo comercial, como productividad y salarios; sin embargo, también refleja una profunda división entre la agenda de las autoridades estadounidenses y las perspectivas de las empresas, especialmente </w:t>
      </w:r>
      <w:r w:rsidR="001503BC" w:rsidRPr="00F07331">
        <w:rPr>
          <w:rFonts w:ascii="Cambria" w:eastAsia="Cambria" w:hAnsi="Cambria" w:cs="Cambria"/>
        </w:rPr>
        <w:t xml:space="preserve">las </w:t>
      </w:r>
      <w:r w:rsidR="00697C5D" w:rsidRPr="00F07331">
        <w:rPr>
          <w:rFonts w:ascii="Cambria" w:eastAsia="Cambria" w:hAnsi="Cambria" w:cs="Cambria"/>
        </w:rPr>
        <w:t xml:space="preserve">transnacionales. </w:t>
      </w:r>
    </w:p>
    <w:p w:rsidR="000F63AC" w:rsidRPr="00F07331" w:rsidRDefault="00697C5D" w:rsidP="001503BC">
      <w:pPr>
        <w:spacing w:line="360" w:lineRule="auto"/>
        <w:jc w:val="both"/>
        <w:rPr>
          <w:rFonts w:ascii="Cambria" w:eastAsia="Cambria" w:hAnsi="Cambria" w:cs="Cambria"/>
          <w:b/>
        </w:rPr>
      </w:pPr>
      <w:r w:rsidRPr="00F07331">
        <w:rPr>
          <w:rFonts w:ascii="Cambria" w:eastAsia="Cambria" w:hAnsi="Cambria" w:cs="Cambria"/>
        </w:rPr>
        <w:t xml:space="preserve">“Hay una ruptura entre el gobierno estadunidense y sus grandes empresas transnacionales, que han encontrado beneficios tanto con los esquemas de globalización como en el propio TLCAN a través de ventajas de producción y comercialización. En el otro extremo está el propio presidente Donald Trump y sectores muy específicos como sindicatos y pymes, que consideran haber sido perjudicados por este acuerdo”, detalló Arturo Oropeza García, vicepresidente del IDIC, durante el </w:t>
      </w:r>
      <w:r w:rsidRPr="00F07331">
        <w:rPr>
          <w:rFonts w:ascii="Cambria" w:eastAsia="Cambria" w:hAnsi="Cambria" w:cs="Cambria"/>
          <w:b/>
        </w:rPr>
        <w:t>Foro La Renegociación del TLCAN. Reflexiones y propuestas.</w:t>
      </w:r>
    </w:p>
    <w:p w:rsidR="000F63AC" w:rsidRPr="00F07331" w:rsidRDefault="001503BC" w:rsidP="001503BC">
      <w:pPr>
        <w:spacing w:line="360" w:lineRule="auto"/>
        <w:jc w:val="both"/>
        <w:rPr>
          <w:rFonts w:ascii="Cambria" w:eastAsia="Cambria" w:hAnsi="Cambria" w:cs="Cambria"/>
        </w:rPr>
      </w:pPr>
      <w:r w:rsidRPr="00F07331">
        <w:rPr>
          <w:rFonts w:ascii="Cambria" w:eastAsia="Cambria" w:hAnsi="Cambria" w:cs="Cambria"/>
        </w:rPr>
        <w:t>En</w:t>
      </w:r>
      <w:r w:rsidR="00697C5D" w:rsidRPr="00F07331">
        <w:rPr>
          <w:rFonts w:ascii="Cambria" w:eastAsia="Cambria" w:hAnsi="Cambria" w:cs="Cambria"/>
        </w:rPr>
        <w:t xml:space="preserve"> el evento, organizado por el Instituto del Desarrollo Industrial y el Crecimiento Económico (IDIC), El Colegio de México y el Instituto de Investigaciones Juríd</w:t>
      </w:r>
      <w:r w:rsidR="007642C4" w:rsidRPr="00F07331">
        <w:rPr>
          <w:rFonts w:ascii="Cambria" w:eastAsia="Cambria" w:hAnsi="Cambria" w:cs="Cambria"/>
        </w:rPr>
        <w:t>icas de la UNAM, Oropeza García</w:t>
      </w:r>
      <w:r w:rsidR="00697C5D" w:rsidRPr="00F07331">
        <w:rPr>
          <w:rFonts w:ascii="Cambria" w:eastAsia="Cambria" w:hAnsi="Cambria" w:cs="Cambria"/>
        </w:rPr>
        <w:t xml:space="preserve"> recordó que el discurso de Donald Trump en torno al TLCAN ha sido constante desde la campaña electoral; aunque ahora deberá negociar con las grandes empresas, en especial las que pueden ver una afectación importante en sus cadenas de valor debido a los cambios propuestos en contenido regional. </w:t>
      </w:r>
    </w:p>
    <w:p w:rsidR="001503BC" w:rsidRPr="00F07331" w:rsidRDefault="001503BC" w:rsidP="001503BC">
      <w:pPr>
        <w:spacing w:line="360" w:lineRule="auto"/>
        <w:jc w:val="both"/>
        <w:rPr>
          <w:rFonts w:ascii="Cambria" w:eastAsia="Cambria" w:hAnsi="Cambria" w:cs="Cambria"/>
        </w:rPr>
      </w:pPr>
    </w:p>
    <w:p w:rsidR="001503BC" w:rsidRPr="00F07331" w:rsidRDefault="001503BC" w:rsidP="001503BC">
      <w:pPr>
        <w:spacing w:line="360" w:lineRule="auto"/>
        <w:jc w:val="both"/>
        <w:rPr>
          <w:rFonts w:ascii="Cambria" w:eastAsia="Cambria" w:hAnsi="Cambria" w:cs="Cambria"/>
        </w:rPr>
      </w:pPr>
    </w:p>
    <w:p w:rsidR="001503BC" w:rsidRPr="00F07331" w:rsidRDefault="001503BC" w:rsidP="001503BC">
      <w:pPr>
        <w:spacing w:line="360" w:lineRule="auto"/>
        <w:jc w:val="both"/>
        <w:rPr>
          <w:rFonts w:ascii="Cambria" w:eastAsia="Cambria" w:hAnsi="Cambria" w:cs="Cambria"/>
        </w:rPr>
      </w:pPr>
    </w:p>
    <w:p w:rsidR="001503BC" w:rsidRPr="00F07331" w:rsidRDefault="001503BC" w:rsidP="001503BC">
      <w:pPr>
        <w:spacing w:line="360" w:lineRule="auto"/>
        <w:jc w:val="both"/>
        <w:rPr>
          <w:rFonts w:ascii="Cambria" w:eastAsia="Cambria" w:hAnsi="Cambria" w:cs="Cambria"/>
        </w:rPr>
      </w:pPr>
    </w:p>
    <w:p w:rsidR="000F63AC" w:rsidRPr="00F07331" w:rsidRDefault="00697C5D" w:rsidP="001503BC">
      <w:pPr>
        <w:spacing w:line="360" w:lineRule="auto"/>
        <w:jc w:val="both"/>
        <w:rPr>
          <w:rFonts w:ascii="Cambria" w:eastAsia="Cambria" w:hAnsi="Cambria" w:cs="Cambria"/>
        </w:rPr>
      </w:pPr>
      <w:r w:rsidRPr="00F07331">
        <w:rPr>
          <w:rFonts w:ascii="Cambria" w:eastAsia="Cambria" w:hAnsi="Cambria" w:cs="Cambria"/>
        </w:rPr>
        <w:t xml:space="preserve">“Trump busca hacer </w:t>
      </w:r>
      <w:r w:rsidR="001503BC" w:rsidRPr="00F07331">
        <w:rPr>
          <w:rFonts w:ascii="Cambria" w:eastAsia="Cambria" w:hAnsi="Cambria" w:cs="Cambria"/>
        </w:rPr>
        <w:t>una imposición</w:t>
      </w:r>
      <w:r w:rsidRPr="00F07331">
        <w:rPr>
          <w:rFonts w:ascii="Cambria" w:eastAsia="Cambria" w:hAnsi="Cambria" w:cs="Cambria"/>
        </w:rPr>
        <w:t xml:space="preserve"> directa en temas importantes para el país: la nego</w:t>
      </w:r>
      <w:r w:rsidR="007642C4" w:rsidRPr="00F07331">
        <w:rPr>
          <w:rFonts w:ascii="Cambria" w:eastAsia="Cambria" w:hAnsi="Cambria" w:cs="Cambria"/>
        </w:rPr>
        <w:t>ciación consensuada fue rápida, lo que representa un riesgo</w:t>
      </w:r>
      <w:r w:rsidRPr="00F07331">
        <w:rPr>
          <w:rFonts w:ascii="Cambria" w:eastAsia="Cambria" w:hAnsi="Cambria" w:cs="Cambria"/>
        </w:rPr>
        <w:t>. Para México, la principal presión se encuentra en el déficit comercial, los ajustes laborales y salariales y el control del contenido regional para recapturar las manufacturas en industrias como la automotriz y la elec</w:t>
      </w:r>
      <w:r w:rsidR="003E0E65" w:rsidRPr="00F07331">
        <w:rPr>
          <w:rFonts w:ascii="Cambria" w:eastAsia="Cambria" w:hAnsi="Cambria" w:cs="Cambria"/>
        </w:rPr>
        <w:t xml:space="preserve">trónica”, puntualizó. </w:t>
      </w:r>
      <w:r w:rsidRPr="00F07331">
        <w:rPr>
          <w:rFonts w:ascii="Cambria" w:eastAsia="Cambria" w:hAnsi="Cambria" w:cs="Cambria"/>
        </w:rPr>
        <w:t xml:space="preserve"> </w:t>
      </w:r>
    </w:p>
    <w:p w:rsidR="000F63AC" w:rsidRPr="00F07331" w:rsidRDefault="00697C5D" w:rsidP="001503BC">
      <w:pPr>
        <w:spacing w:line="360" w:lineRule="auto"/>
        <w:jc w:val="both"/>
        <w:rPr>
          <w:rFonts w:ascii="Cambria" w:eastAsia="Cambria" w:hAnsi="Cambria" w:cs="Cambria"/>
        </w:rPr>
      </w:pPr>
      <w:r w:rsidRPr="00F07331">
        <w:rPr>
          <w:rFonts w:ascii="Cambria" w:eastAsia="Cambria" w:hAnsi="Cambria" w:cs="Cambria"/>
        </w:rPr>
        <w:t>Académicos y especialistas coincidieron que los riesgos se concentran en: el estrecho margen de maniobra para evaluar los contenido</w:t>
      </w:r>
      <w:r w:rsidR="007642C4" w:rsidRPr="00F07331">
        <w:rPr>
          <w:rFonts w:ascii="Cambria" w:eastAsia="Cambria" w:hAnsi="Cambria" w:cs="Cambria"/>
        </w:rPr>
        <w:t>s</w:t>
      </w:r>
      <w:r w:rsidRPr="00F07331">
        <w:rPr>
          <w:rFonts w:ascii="Cambria" w:eastAsia="Cambria" w:hAnsi="Cambria" w:cs="Cambria"/>
        </w:rPr>
        <w:t xml:space="preserve"> en tiempo, sin verse rebasados por los intereses de la administración de Trump; y la frágil alianza entre México y Canadá, que podría desaparecer en la medida que la discusión se concentre en el tema laboral.</w:t>
      </w:r>
    </w:p>
    <w:p w:rsidR="00F07331" w:rsidRPr="00F07331" w:rsidRDefault="003E0E65" w:rsidP="001503BC">
      <w:pPr>
        <w:spacing w:line="360" w:lineRule="auto"/>
        <w:jc w:val="both"/>
        <w:rPr>
          <w:rFonts w:ascii="Cambria" w:eastAsia="Cambria" w:hAnsi="Cambria" w:cs="Cambria"/>
        </w:rPr>
      </w:pPr>
      <w:r w:rsidRPr="00F07331">
        <w:rPr>
          <w:rFonts w:ascii="Cambria" w:eastAsia="Cambria" w:hAnsi="Cambria" w:cs="Cambria"/>
        </w:rPr>
        <w:t>En ese sentido, el economista de la UNAM, Ángel de la Vega Navarro, destacó que hay importantes temas por revisar como la apertura del mercado energético al TLCAN</w:t>
      </w:r>
      <w:r w:rsidR="00074053" w:rsidRPr="00F07331">
        <w:rPr>
          <w:rFonts w:ascii="Cambria" w:eastAsia="Cambria" w:hAnsi="Cambria" w:cs="Cambria"/>
        </w:rPr>
        <w:t>,</w:t>
      </w:r>
      <w:r w:rsidRPr="00F07331">
        <w:rPr>
          <w:rFonts w:ascii="Cambria" w:eastAsia="Cambria" w:hAnsi="Cambria" w:cs="Cambria"/>
        </w:rPr>
        <w:t xml:space="preserve"> </w:t>
      </w:r>
      <w:r w:rsidR="00074053" w:rsidRPr="00F07331">
        <w:rPr>
          <w:rFonts w:ascii="Cambria" w:eastAsia="Cambria" w:hAnsi="Cambria" w:cs="Cambria"/>
        </w:rPr>
        <w:t xml:space="preserve">derivado de la reforma estructural, </w:t>
      </w:r>
      <w:r w:rsidRPr="00F07331">
        <w:rPr>
          <w:rFonts w:ascii="Cambria" w:eastAsia="Cambria" w:hAnsi="Cambria" w:cs="Cambria"/>
        </w:rPr>
        <w:t>por lo que destacó se debe revisar el Capítulo 11 de este acuerdo para atender este sector estrat</w:t>
      </w:r>
      <w:r w:rsidR="00074053" w:rsidRPr="00F07331">
        <w:rPr>
          <w:rFonts w:ascii="Cambria" w:eastAsia="Cambria" w:hAnsi="Cambria" w:cs="Cambria"/>
        </w:rPr>
        <w:t xml:space="preserve">égico. </w:t>
      </w:r>
    </w:p>
    <w:p w:rsidR="00074053" w:rsidRPr="00F07331" w:rsidRDefault="00074053" w:rsidP="001503BC">
      <w:pPr>
        <w:spacing w:line="360" w:lineRule="auto"/>
        <w:jc w:val="both"/>
        <w:rPr>
          <w:rFonts w:ascii="Cambria" w:hAnsi="Cambria"/>
          <w:lang w:val="es-419"/>
        </w:rPr>
      </w:pPr>
      <w:r w:rsidRPr="00F07331">
        <w:rPr>
          <w:rFonts w:ascii="Cambria" w:eastAsia="Cambria" w:hAnsi="Cambria" w:cs="Cambria"/>
        </w:rPr>
        <w:t xml:space="preserve">En tanto, Mauricio de María y Campos, consejero del IDIC, recordó también la importancia que se debe dar en torno a las </w:t>
      </w:r>
      <w:r w:rsidRPr="00F07331">
        <w:rPr>
          <w:rFonts w:ascii="Cambria" w:hAnsi="Cambria"/>
          <w:lang w:val="es-419"/>
        </w:rPr>
        <w:t xml:space="preserve">conversaciones con la Unión Europea para actualizar y modernizar el acuerdo comercial alcanzado en 2000, así como el Plan de B que está considerando México al mantener su compromiso con el TPP y enviar convocatorias para que el acuerdo se dé, a pesar del rechazo de Trump, </w:t>
      </w:r>
      <w:r w:rsidRPr="00F07331">
        <w:rPr>
          <w:rFonts w:ascii="Cambria" w:eastAsia="Cambria" w:hAnsi="Cambria" w:cs="Cambria"/>
        </w:rPr>
        <w:t xml:space="preserve">lo cual también debe ser analizado en esta </w:t>
      </w:r>
      <w:r w:rsidR="007051DF" w:rsidRPr="00F07331">
        <w:rPr>
          <w:rFonts w:ascii="Cambria" w:eastAsia="Cambria" w:hAnsi="Cambria" w:cs="Cambria"/>
        </w:rPr>
        <w:t>coyuntura</w:t>
      </w:r>
      <w:r w:rsidRPr="00F07331">
        <w:rPr>
          <w:rFonts w:ascii="Cambria" w:eastAsia="Cambria" w:hAnsi="Cambria" w:cs="Cambria"/>
        </w:rPr>
        <w:t xml:space="preserve"> del TLCAN.</w:t>
      </w:r>
    </w:p>
    <w:p w:rsidR="000F63AC" w:rsidRPr="00F07331" w:rsidRDefault="00F07331" w:rsidP="00074053">
      <w:pPr>
        <w:spacing w:line="360" w:lineRule="auto"/>
        <w:jc w:val="both"/>
        <w:rPr>
          <w:rFonts w:ascii="Cambria" w:eastAsia="Cambria" w:hAnsi="Cambria" w:cs="Cambria"/>
        </w:rPr>
      </w:pPr>
      <w:r w:rsidRPr="00F07331">
        <w:rPr>
          <w:rFonts w:ascii="Cambria" w:eastAsia="Cambria" w:hAnsi="Cambria" w:cs="Cambria"/>
        </w:rPr>
        <w:t xml:space="preserve">Los panelistas </w:t>
      </w:r>
      <w:r w:rsidR="00074053" w:rsidRPr="00F07331">
        <w:rPr>
          <w:rFonts w:ascii="Cambria" w:eastAsia="Cambria" w:hAnsi="Cambria" w:cs="Cambria"/>
        </w:rPr>
        <w:t>r</w:t>
      </w:r>
      <w:r w:rsidR="007642C4" w:rsidRPr="00F07331">
        <w:rPr>
          <w:rFonts w:ascii="Cambria" w:eastAsia="Cambria" w:hAnsi="Cambria" w:cs="Cambria"/>
        </w:rPr>
        <w:t>ecomendaron que</w:t>
      </w:r>
      <w:r w:rsidR="00697C5D" w:rsidRPr="00F07331">
        <w:rPr>
          <w:rFonts w:ascii="Cambria" w:eastAsia="Cambria" w:hAnsi="Cambria" w:cs="Cambria"/>
        </w:rPr>
        <w:t xml:space="preserve"> México se concentre en mejorar el contenido de la negoci</w:t>
      </w:r>
      <w:r w:rsidR="00074053" w:rsidRPr="00F07331">
        <w:rPr>
          <w:rFonts w:ascii="Cambria" w:eastAsia="Cambria" w:hAnsi="Cambria" w:cs="Cambria"/>
        </w:rPr>
        <w:t>ación para las próximas rondas, teniendo claridad de la postura del país, para genera</w:t>
      </w:r>
      <w:r w:rsidRPr="00F07331">
        <w:rPr>
          <w:rFonts w:ascii="Cambria" w:eastAsia="Cambria" w:hAnsi="Cambria" w:cs="Cambria"/>
        </w:rPr>
        <w:t>r</w:t>
      </w:r>
      <w:r w:rsidR="00074053" w:rsidRPr="00F07331">
        <w:rPr>
          <w:rFonts w:ascii="Cambria" w:eastAsia="Cambria" w:hAnsi="Cambria" w:cs="Cambria"/>
        </w:rPr>
        <w:t xml:space="preserve"> propuestas en función de nuestros objetivos nacionales y no partir de una postura defensiva. </w:t>
      </w:r>
    </w:p>
    <w:p w:rsidR="00074053" w:rsidRDefault="00074053">
      <w:pPr>
        <w:spacing w:after="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</w:p>
    <w:p w:rsidR="000F63AC" w:rsidRDefault="00697C5D">
      <w:pPr>
        <w:spacing w:after="0"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****</w:t>
      </w:r>
    </w:p>
    <w:p w:rsidR="000F63AC" w:rsidRDefault="000F63AC">
      <w:pPr>
        <w:spacing w:after="0"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0F63AC" w:rsidRDefault="00697C5D">
      <w:pPr>
        <w:spacing w:after="0" w:line="36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Sobre IDIC</w:t>
      </w:r>
    </w:p>
    <w:p w:rsidR="000F63AC" w:rsidRDefault="00697C5D">
      <w:pPr>
        <w:spacing w:after="0"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El Instituto para el Desarrollo Industrial y el Crecimiento Económico A.C. es un centro de pensamiento enfocado al estudio y la difusión de los temas de interés para la industria en México.</w:t>
      </w:r>
    </w:p>
    <w:p w:rsidR="000F63AC" w:rsidRDefault="00697C5D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0"/>
          <w:szCs w:val="20"/>
        </w:rPr>
        <w:t>Surge como una iniciativa comprometida con alcanzar un desarrollo equilibrado, que fortalezca tanto al mercado interno como la capacidad exportadora de las empresas nacionales y extranjeras que operan en el país, así como para atender la necesidad de complementariedad entre actores de la sociedad civil en los temas de política industrial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F63AC" w:rsidRDefault="000F63AC">
      <w:pPr>
        <w:spacing w:line="360" w:lineRule="auto"/>
        <w:rPr>
          <w:rFonts w:ascii="Cambria" w:eastAsia="Cambria" w:hAnsi="Cambria" w:cs="Cambria"/>
        </w:rPr>
      </w:pPr>
    </w:p>
    <w:sectPr w:rsidR="000F63AC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978FC"/>
    <w:multiLevelType w:val="multilevel"/>
    <w:tmpl w:val="421A51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C"/>
    <w:rsid w:val="000045DB"/>
    <w:rsid w:val="00074053"/>
    <w:rsid w:val="000F63AC"/>
    <w:rsid w:val="001503BC"/>
    <w:rsid w:val="001C0F9F"/>
    <w:rsid w:val="00200C75"/>
    <w:rsid w:val="003E0E65"/>
    <w:rsid w:val="003E2014"/>
    <w:rsid w:val="004B169B"/>
    <w:rsid w:val="00697C5D"/>
    <w:rsid w:val="006A3ABF"/>
    <w:rsid w:val="007051DF"/>
    <w:rsid w:val="007642C4"/>
    <w:rsid w:val="00E321D7"/>
    <w:rsid w:val="00F0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25CBB-0A67-4C73-BAD6-56E045B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Veintimilla</dc:creator>
  <cp:lastModifiedBy>idic</cp:lastModifiedBy>
  <cp:revision>3</cp:revision>
  <dcterms:created xsi:type="dcterms:W3CDTF">2017-08-23T17:22:00Z</dcterms:created>
  <dcterms:modified xsi:type="dcterms:W3CDTF">2017-08-23T19:02:00Z</dcterms:modified>
</cp:coreProperties>
</file>